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highlight w:val="white"/>
        </w:rPr>
      </w:pPr>
      <w:r w:rsidDel="00000000" w:rsidR="00000000" w:rsidRPr="00000000">
        <w:rPr>
          <w:sz w:val="20"/>
          <w:szCs w:val="20"/>
          <w:highlight w:val="white"/>
          <w:rtl w:val="0"/>
        </w:rPr>
        <w:t xml:space="preserve">TO:  </w:t>
      </w:r>
    </w:p>
    <w:tbl>
      <w:tblPr>
        <w:tblStyle w:val="Table1"/>
        <w:tblW w:w="6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20"/>
        <w:tblGridChange w:id="0">
          <w:tblGrid>
            <w:gridCol w:w="6120"/>
          </w:tblGrid>
        </w:tblGridChange>
      </w:tblGrid>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line="288" w:lineRule="auto"/>
              <w:rPr>
                <w:b w:val="1"/>
                <w:sz w:val="24"/>
                <w:szCs w:val="24"/>
                <w:highlight w:val="white"/>
              </w:rPr>
            </w:pPr>
            <w:r w:rsidDel="00000000" w:rsidR="00000000" w:rsidRPr="00000000">
              <w:rPr>
                <w:b w:val="1"/>
                <w:sz w:val="24"/>
                <w:szCs w:val="24"/>
                <w:highlight w:val="white"/>
                <w:rtl w:val="0"/>
              </w:rPr>
              <w:t xml:space="preserve">Reed Maltbie</w:t>
            </w:r>
          </w:p>
          <w:p w:rsidR="00000000" w:rsidDel="00000000" w:rsidP="00000000" w:rsidRDefault="00000000" w:rsidRPr="00000000" w14:paraId="00000003">
            <w:pPr>
              <w:spacing w:line="288" w:lineRule="auto"/>
              <w:rPr>
                <w:sz w:val="20"/>
                <w:szCs w:val="20"/>
                <w:highlight w:val="white"/>
              </w:rPr>
            </w:pPr>
            <w:r w:rsidDel="00000000" w:rsidR="00000000" w:rsidRPr="00000000">
              <w:rPr>
                <w:b w:val="1"/>
                <w:sz w:val="20"/>
                <w:szCs w:val="20"/>
                <w:highlight w:val="white"/>
                <w:rtl w:val="0"/>
              </w:rPr>
              <w:t xml:space="preserve">Executive Director,</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Intercollegiate Sailing Association</w:t>
            </w:r>
            <w:r w:rsidDel="00000000" w:rsidR="00000000" w:rsidRPr="00000000">
              <w:rPr>
                <w:rtl w:val="0"/>
              </w:rPr>
            </w:r>
          </w:p>
        </w:tc>
      </w:tr>
    </w:tbl>
    <w:p w:rsidR="00000000" w:rsidDel="00000000" w:rsidP="00000000" w:rsidRDefault="00000000" w:rsidRPr="00000000" w14:paraId="00000004">
      <w:pPr>
        <w:rPr>
          <w:sz w:val="20"/>
          <w:szCs w:val="20"/>
          <w:highlight w:val="white"/>
        </w:rPr>
      </w:pPr>
      <w:r w:rsidDel="00000000" w:rsidR="00000000" w:rsidRPr="00000000">
        <w:rPr>
          <w:rtl w:val="0"/>
        </w:rPr>
      </w:r>
    </w:p>
    <w:p w:rsidR="00000000" w:rsidDel="00000000" w:rsidP="00000000" w:rsidRDefault="00000000" w:rsidRPr="00000000" w14:paraId="00000005">
      <w:pPr>
        <w:rPr>
          <w:sz w:val="20"/>
          <w:szCs w:val="20"/>
          <w:highlight w:val="white"/>
        </w:rPr>
      </w:pPr>
      <w:r w:rsidDel="00000000" w:rsidR="00000000" w:rsidRPr="00000000">
        <w:rPr>
          <w:sz w:val="20"/>
          <w:szCs w:val="20"/>
          <w:highlight w:val="white"/>
          <w:rtl w:val="0"/>
        </w:rPr>
        <w:t xml:space="preserve">FROM:    PCCSC with support from SAiSA and MCSA</w:t>
      </w:r>
    </w:p>
    <w:p w:rsidR="00000000" w:rsidDel="00000000" w:rsidP="00000000" w:rsidRDefault="00000000" w:rsidRPr="00000000" w14:paraId="00000006">
      <w:pPr>
        <w:rPr>
          <w:sz w:val="20"/>
          <w:szCs w:val="20"/>
          <w:highlight w:val="white"/>
        </w:rPr>
      </w:pPr>
      <w:r w:rsidDel="00000000" w:rsidR="00000000" w:rsidRPr="00000000">
        <w:rPr>
          <w:sz w:val="20"/>
          <w:szCs w:val="20"/>
          <w:highlight w:val="white"/>
          <w:rtl w:val="0"/>
        </w:rPr>
        <w:t xml:space="preserve">RE:   College Sailing Parity/Access to Grade 1 Regattas</w:t>
      </w:r>
    </w:p>
    <w:p w:rsidR="00000000" w:rsidDel="00000000" w:rsidP="00000000" w:rsidRDefault="00000000" w:rsidRPr="00000000" w14:paraId="00000007">
      <w:pPr>
        <w:rPr>
          <w:sz w:val="20"/>
          <w:szCs w:val="20"/>
          <w:highlight w:val="white"/>
        </w:rPr>
      </w:pPr>
      <w:r w:rsidDel="00000000" w:rsidR="00000000" w:rsidRPr="00000000">
        <w:rPr>
          <w:rtl w:val="0"/>
        </w:rPr>
      </w:r>
    </w:p>
    <w:p w:rsidR="00000000" w:rsidDel="00000000" w:rsidP="00000000" w:rsidRDefault="00000000" w:rsidRPr="00000000" w14:paraId="00000008">
      <w:pPr>
        <w:rPr>
          <w:sz w:val="20"/>
          <w:szCs w:val="20"/>
          <w:highlight w:val="white"/>
        </w:rPr>
      </w:pPr>
      <w:r w:rsidDel="00000000" w:rsidR="00000000" w:rsidRPr="00000000">
        <w:rPr>
          <w:sz w:val="20"/>
          <w:szCs w:val="20"/>
          <w:highlight w:val="white"/>
          <w:rtl w:val="0"/>
        </w:rPr>
        <w:t xml:space="preserve">College Sailing Includes the 6 conferences NEISA, MAISA, SAISA, SEISA, MCSA, PCCSA.  The regatta grading system to select teams to compete in the National Championships was determined with much effort and thought. Presently, Grade 1 or 0 events are affordably and geographically available to two of the six conferences. </w:t>
      </w:r>
    </w:p>
    <w:p w:rsidR="00000000" w:rsidDel="00000000" w:rsidP="00000000" w:rsidRDefault="00000000" w:rsidRPr="00000000" w14:paraId="00000009">
      <w:pPr>
        <w:shd w:fill="ffffff" w:val="clear"/>
        <w:rPr>
          <w:sz w:val="20"/>
          <w:szCs w:val="20"/>
        </w:rPr>
      </w:pPr>
      <w:r w:rsidDel="00000000" w:rsidR="00000000" w:rsidRPr="00000000">
        <w:rPr>
          <w:rtl w:val="0"/>
        </w:rPr>
      </w:r>
    </w:p>
    <w:p w:rsidR="00000000" w:rsidDel="00000000" w:rsidP="00000000" w:rsidRDefault="00000000" w:rsidRPr="00000000" w14:paraId="0000000A">
      <w:pPr>
        <w:shd w:fill="ffffff" w:val="clear"/>
        <w:rPr>
          <w:sz w:val="20"/>
          <w:szCs w:val="20"/>
        </w:rPr>
      </w:pPr>
      <w:r w:rsidDel="00000000" w:rsidR="00000000" w:rsidRPr="00000000">
        <w:rPr>
          <w:sz w:val="20"/>
          <w:szCs w:val="20"/>
          <w:rtl w:val="0"/>
        </w:rPr>
        <w:t xml:space="preserve">Grade 1 events:   Open fleet racing regattas all 16 are in only NEISA / MAISA.   Womens fleet racing all 13 are in NEISA / MAISA.   No Grade 1 regattas exist anywhere else in the country.</w:t>
      </w:r>
    </w:p>
    <w:p w:rsidR="00000000" w:rsidDel="00000000" w:rsidP="00000000" w:rsidRDefault="00000000" w:rsidRPr="00000000" w14:paraId="0000000B">
      <w:pPr>
        <w:shd w:fill="ffffff" w:val="clear"/>
        <w:rPr>
          <w:sz w:val="20"/>
          <w:szCs w:val="20"/>
        </w:rPr>
      </w:pPr>
      <w:r w:rsidDel="00000000" w:rsidR="00000000" w:rsidRPr="00000000">
        <w:rPr>
          <w:rtl w:val="0"/>
        </w:rPr>
      </w:r>
    </w:p>
    <w:p w:rsidR="00000000" w:rsidDel="00000000" w:rsidP="00000000" w:rsidRDefault="00000000" w:rsidRPr="00000000" w14:paraId="0000000C">
      <w:pPr>
        <w:shd w:fill="ffffff" w:val="clear"/>
        <w:rPr>
          <w:sz w:val="20"/>
          <w:szCs w:val="20"/>
        </w:rPr>
      </w:pPr>
      <w:r w:rsidDel="00000000" w:rsidR="00000000" w:rsidRPr="00000000">
        <w:rPr>
          <w:sz w:val="20"/>
          <w:szCs w:val="20"/>
          <w:rtl w:val="0"/>
        </w:rPr>
        <w:t xml:space="preserve">The PCCSC is proposing at least one Grade 1 regatta per academic year and prior to national championship selection for the discipline in which the regatta pertains to in each district or conference. This will allow teams outside of NEISA and MAISA to be able to attend a grade 1 level regatta without having to bear all of the travel costs.  Parity will be increased with added Grade 1 venues in different time zones and weather conditions.  </w:t>
      </w:r>
    </w:p>
    <w:p w:rsidR="00000000" w:rsidDel="00000000" w:rsidP="00000000" w:rsidRDefault="00000000" w:rsidRPr="00000000" w14:paraId="0000000D">
      <w:pPr>
        <w:shd w:fill="ffffff" w:val="clear"/>
        <w:rPr>
          <w:sz w:val="20"/>
          <w:szCs w:val="20"/>
        </w:rPr>
      </w:pPr>
      <w:r w:rsidDel="00000000" w:rsidR="00000000" w:rsidRPr="00000000">
        <w:rPr>
          <w:rtl w:val="0"/>
        </w:rPr>
      </w:r>
    </w:p>
    <w:p w:rsidR="00000000" w:rsidDel="00000000" w:rsidP="00000000" w:rsidRDefault="00000000" w:rsidRPr="00000000" w14:paraId="0000000E">
      <w:pPr>
        <w:shd w:fill="ffffff" w:val="clear"/>
        <w:rPr>
          <w:sz w:val="20"/>
          <w:szCs w:val="20"/>
        </w:rPr>
      </w:pPr>
      <w:r w:rsidDel="00000000" w:rsidR="00000000" w:rsidRPr="00000000">
        <w:rPr>
          <w:sz w:val="20"/>
          <w:szCs w:val="20"/>
          <w:rtl w:val="0"/>
        </w:rPr>
        <w:t xml:space="preserve">The conferences outside of NEISA and MAISA are very capable of hosting high quality regattas. Each conference can identify which venue and regatta they would want to designate a Grade 1 or plan a new event.  </w:t>
      </w:r>
    </w:p>
    <w:p w:rsidR="00000000" w:rsidDel="00000000" w:rsidP="00000000" w:rsidRDefault="00000000" w:rsidRPr="00000000" w14:paraId="0000000F">
      <w:pPr>
        <w:shd w:fill="ffffff" w:val="clear"/>
        <w:rPr>
          <w:sz w:val="20"/>
          <w:szCs w:val="20"/>
        </w:rPr>
      </w:pPr>
      <w:r w:rsidDel="00000000" w:rsidR="00000000" w:rsidRPr="00000000">
        <w:rPr>
          <w:rtl w:val="0"/>
        </w:rPr>
      </w:r>
    </w:p>
    <w:p w:rsidR="00000000" w:rsidDel="00000000" w:rsidP="00000000" w:rsidRDefault="00000000" w:rsidRPr="00000000" w14:paraId="00000010">
      <w:pPr>
        <w:shd w:fill="ffffff" w:val="clear"/>
        <w:rPr>
          <w:sz w:val="20"/>
          <w:szCs w:val="20"/>
        </w:rPr>
      </w:pPr>
      <w:r w:rsidDel="00000000" w:rsidR="00000000" w:rsidRPr="00000000">
        <w:rPr>
          <w:sz w:val="20"/>
          <w:szCs w:val="20"/>
          <w:rtl w:val="0"/>
        </w:rPr>
        <w:t xml:space="preserve">For implementation during the 2023-2024 school year.</w:t>
      </w:r>
    </w:p>
    <w:p w:rsidR="00000000" w:rsidDel="00000000" w:rsidP="00000000" w:rsidRDefault="00000000" w:rsidRPr="00000000" w14:paraId="00000011">
      <w:pPr>
        <w:shd w:fill="ffffff" w:val="clear"/>
        <w:rPr>
          <w:sz w:val="20"/>
          <w:szCs w:val="20"/>
        </w:rPr>
      </w:pPr>
      <w:r w:rsidDel="00000000" w:rsidR="00000000" w:rsidRPr="00000000">
        <w:rPr>
          <w:rtl w:val="0"/>
        </w:rPr>
      </w:r>
    </w:p>
    <w:p w:rsidR="00000000" w:rsidDel="00000000" w:rsidP="00000000" w:rsidRDefault="00000000" w:rsidRPr="00000000" w14:paraId="00000012">
      <w:pPr>
        <w:shd w:fill="ffffff" w:val="clear"/>
        <w:rPr>
          <w:sz w:val="20"/>
          <w:szCs w:val="20"/>
        </w:rPr>
      </w:pPr>
      <w:r w:rsidDel="00000000" w:rsidR="00000000" w:rsidRPr="00000000">
        <w:rPr>
          <w:sz w:val="20"/>
          <w:szCs w:val="20"/>
          <w:rtl w:val="0"/>
        </w:rPr>
        <w:t xml:space="preserve">Respectfully submitted, </w:t>
      </w:r>
    </w:p>
    <w:p w:rsidR="00000000" w:rsidDel="00000000" w:rsidP="00000000" w:rsidRDefault="00000000" w:rsidRPr="00000000" w14:paraId="00000013">
      <w:pPr>
        <w:shd w:fill="ffffff" w:val="clear"/>
        <w:rPr>
          <w:sz w:val="20"/>
          <w:szCs w:val="20"/>
        </w:rPr>
      </w:pPr>
      <w:r w:rsidDel="00000000" w:rsidR="00000000" w:rsidRPr="00000000">
        <w:rPr>
          <w:sz w:val="20"/>
          <w:szCs w:val="20"/>
          <w:rtl w:val="0"/>
        </w:rPr>
        <w:t xml:space="preserve">Pacific Coast Collegiate Sailing Conference</w:t>
      </w:r>
    </w:p>
    <w:p w:rsidR="00000000" w:rsidDel="00000000" w:rsidP="00000000" w:rsidRDefault="00000000" w:rsidRPr="00000000" w14:paraId="00000014">
      <w:pPr>
        <w:shd w:fill="ffffff" w:val="clear"/>
        <w:rPr>
          <w:sz w:val="20"/>
          <w:szCs w:val="20"/>
        </w:rPr>
      </w:pPr>
      <w:r w:rsidDel="00000000" w:rsidR="00000000" w:rsidRPr="00000000">
        <w:rPr>
          <w:sz w:val="20"/>
          <w:szCs w:val="20"/>
          <w:rtl w:val="0"/>
        </w:rPr>
        <w:t xml:space="preserve">By Andrew Johnson and Brad Schaupeter on behalf of the PCCSC with support from SAISA and MCSA.</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