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62" w:rsidRPr="005D67D0" w:rsidRDefault="00EB6593" w:rsidP="00930EED">
      <w:pPr>
        <w:widowControl w:val="0"/>
        <w:autoSpaceDE w:val="0"/>
        <w:autoSpaceDN w:val="0"/>
        <w:adjustRightInd w:val="0"/>
        <w:spacing w:after="0"/>
        <w:ind w:left="288" w:hanging="288"/>
        <w:jc w:val="center"/>
        <w:rPr>
          <w:szCs w:val="22"/>
        </w:rPr>
      </w:pPr>
      <w:bookmarkStart w:id="0" w:name="_GoBack"/>
      <w:bookmarkEnd w:id="0"/>
      <w:r w:rsidRPr="005D67D0">
        <w:rPr>
          <w:szCs w:val="22"/>
        </w:rPr>
        <w:t>Report of the Eligibility Committee</w:t>
      </w:r>
    </w:p>
    <w:p w:rsidR="00930EED" w:rsidRPr="005D67D0" w:rsidRDefault="00930EED" w:rsidP="00930EED">
      <w:pPr>
        <w:widowControl w:val="0"/>
        <w:autoSpaceDE w:val="0"/>
        <w:autoSpaceDN w:val="0"/>
        <w:adjustRightInd w:val="0"/>
        <w:spacing w:after="0"/>
        <w:ind w:left="288" w:hanging="288"/>
        <w:jc w:val="center"/>
        <w:rPr>
          <w:szCs w:val="22"/>
        </w:rPr>
      </w:pPr>
      <w:r w:rsidRPr="005D67D0">
        <w:rPr>
          <w:szCs w:val="22"/>
        </w:rPr>
        <w:t>January 2017</w:t>
      </w:r>
    </w:p>
    <w:p w:rsidR="00930EED" w:rsidRPr="005D67D0" w:rsidRDefault="00930EED" w:rsidP="00930EED">
      <w:pPr>
        <w:widowControl w:val="0"/>
        <w:autoSpaceDE w:val="0"/>
        <w:autoSpaceDN w:val="0"/>
        <w:adjustRightInd w:val="0"/>
        <w:spacing w:after="0"/>
        <w:ind w:left="288" w:hanging="288"/>
        <w:jc w:val="center"/>
        <w:rPr>
          <w:szCs w:val="22"/>
        </w:rPr>
      </w:pPr>
      <w:r w:rsidRPr="005D67D0">
        <w:rPr>
          <w:szCs w:val="22"/>
        </w:rPr>
        <w:t>Park City, Utah</w:t>
      </w:r>
    </w:p>
    <w:p w:rsidR="00930EED" w:rsidRPr="005D67D0" w:rsidRDefault="00930EED" w:rsidP="00930EED">
      <w:pPr>
        <w:widowControl w:val="0"/>
        <w:autoSpaceDE w:val="0"/>
        <w:autoSpaceDN w:val="0"/>
        <w:adjustRightInd w:val="0"/>
        <w:spacing w:after="0"/>
        <w:ind w:left="288" w:hanging="288"/>
        <w:jc w:val="center"/>
        <w:rPr>
          <w:szCs w:val="22"/>
        </w:rPr>
      </w:pPr>
    </w:p>
    <w:p w:rsidR="00930EED" w:rsidRPr="00103319" w:rsidRDefault="00930EED" w:rsidP="00930EED">
      <w:pPr>
        <w:widowControl w:val="0"/>
        <w:autoSpaceDE w:val="0"/>
        <w:autoSpaceDN w:val="0"/>
        <w:adjustRightInd w:val="0"/>
        <w:spacing w:after="0"/>
        <w:rPr>
          <w:sz w:val="22"/>
          <w:szCs w:val="22"/>
        </w:rPr>
      </w:pPr>
      <w:r w:rsidRPr="00103319">
        <w:rPr>
          <w:sz w:val="22"/>
          <w:szCs w:val="22"/>
        </w:rPr>
        <w:t>Three issues were presented since the Annual Meeting report. These questions were resolved through reference to the ICSA Procedural Rules and did not require the Committee to make any new rulings.</w:t>
      </w:r>
    </w:p>
    <w:p w:rsidR="00930EED" w:rsidRPr="00103319" w:rsidRDefault="00930EED" w:rsidP="00930EED">
      <w:pPr>
        <w:widowControl w:val="0"/>
        <w:autoSpaceDE w:val="0"/>
        <w:autoSpaceDN w:val="0"/>
        <w:adjustRightInd w:val="0"/>
        <w:spacing w:after="0"/>
        <w:rPr>
          <w:sz w:val="22"/>
          <w:szCs w:val="22"/>
        </w:rPr>
      </w:pPr>
    </w:p>
    <w:p w:rsidR="00930EED" w:rsidRPr="00103319" w:rsidRDefault="00930EED" w:rsidP="00930EED">
      <w:pPr>
        <w:widowControl w:val="0"/>
        <w:numPr>
          <w:ilvl w:val="0"/>
          <w:numId w:val="2"/>
        </w:numPr>
        <w:autoSpaceDE w:val="0"/>
        <w:autoSpaceDN w:val="0"/>
        <w:adjustRightInd w:val="0"/>
        <w:spacing w:after="0"/>
        <w:rPr>
          <w:sz w:val="22"/>
          <w:szCs w:val="22"/>
        </w:rPr>
      </w:pPr>
      <w:r w:rsidRPr="00103319">
        <w:rPr>
          <w:sz w:val="22"/>
          <w:szCs w:val="22"/>
        </w:rPr>
        <w:t xml:space="preserve">There was a request to reconsider the Committee’s decision on Case PR 12 (c) - 27 (2015) involving a request for a one season extension of eligibility due to injury.  This request has not been reviewed.  The Procedural Rule changed in 2015 under which this decision has not been modified in the published Procedural Rules although a change has been discussed. </w:t>
      </w:r>
    </w:p>
    <w:p w:rsidR="00930EED" w:rsidRPr="00103319" w:rsidRDefault="00930EED" w:rsidP="00930EED">
      <w:pPr>
        <w:pStyle w:val="NormalWeb"/>
        <w:spacing w:before="2" w:after="2"/>
        <w:ind w:left="720" w:hanging="720"/>
        <w:rPr>
          <w:rFonts w:ascii="Times New Roman" w:hAnsi="Times New Roman"/>
          <w:sz w:val="22"/>
        </w:rPr>
      </w:pPr>
    </w:p>
    <w:p w:rsidR="00930EED" w:rsidRPr="00103319" w:rsidRDefault="00930EED" w:rsidP="00930EED">
      <w:pPr>
        <w:pStyle w:val="NormalWeb"/>
        <w:numPr>
          <w:ilvl w:val="0"/>
          <w:numId w:val="2"/>
        </w:numPr>
        <w:spacing w:before="2" w:after="2"/>
        <w:rPr>
          <w:rFonts w:ascii="Times New Roman" w:hAnsi="Times New Roman"/>
          <w:sz w:val="22"/>
          <w:szCs w:val="22"/>
        </w:rPr>
      </w:pPr>
      <w:r w:rsidRPr="00103319">
        <w:rPr>
          <w:rFonts w:ascii="Times New Roman" w:hAnsi="Times New Roman"/>
          <w:sz w:val="22"/>
          <w:szCs w:val="22"/>
        </w:rPr>
        <w:t xml:space="preserve">There have been several requests to have the 2016 Fall Season of eligibility reinstated.  These requests were from individuals who had been moved to Afterguard Status automatically by the ICSA Registration system.  These individual’s initial participation in ICSA competition occurred prior to Fall ’13, and had not competed in one or more seasons since that time. </w:t>
      </w:r>
    </w:p>
    <w:p w:rsidR="00930EED" w:rsidRPr="00103319" w:rsidRDefault="00930EED" w:rsidP="00930EED">
      <w:pPr>
        <w:pStyle w:val="NormalWeb"/>
        <w:spacing w:before="2" w:after="2"/>
        <w:ind w:left="720"/>
        <w:rPr>
          <w:rFonts w:ascii="Times New Roman" w:hAnsi="Times New Roman"/>
          <w:sz w:val="22"/>
        </w:rPr>
      </w:pPr>
    </w:p>
    <w:p w:rsidR="00930EED" w:rsidRPr="00103319" w:rsidRDefault="00930EED" w:rsidP="00930EED">
      <w:pPr>
        <w:pStyle w:val="NormalWeb"/>
        <w:spacing w:before="2" w:after="2"/>
        <w:ind w:left="720"/>
        <w:rPr>
          <w:rFonts w:ascii="Times New Roman" w:hAnsi="Times New Roman"/>
          <w:sz w:val="22"/>
          <w:szCs w:val="22"/>
        </w:rPr>
      </w:pPr>
      <w:r w:rsidRPr="00103319">
        <w:rPr>
          <w:rFonts w:ascii="Times New Roman" w:hAnsi="Times New Roman"/>
          <w:sz w:val="22"/>
          <w:szCs w:val="22"/>
        </w:rPr>
        <w:t xml:space="preserve">“c.   Seasons of Competition: Five-Year Rule (changes effective beginning with the class entering college Fall ’13)…” </w:t>
      </w:r>
    </w:p>
    <w:p w:rsidR="00930EED" w:rsidRPr="00103319" w:rsidRDefault="00930EED" w:rsidP="00930EED">
      <w:pPr>
        <w:pStyle w:val="NormalWeb"/>
        <w:spacing w:before="2" w:after="2"/>
        <w:ind w:left="360"/>
        <w:rPr>
          <w:rFonts w:ascii="Times New Roman" w:hAnsi="Times New Roman"/>
          <w:sz w:val="22"/>
          <w:szCs w:val="22"/>
        </w:rPr>
      </w:pPr>
    </w:p>
    <w:p w:rsidR="00930EED" w:rsidRPr="00103319" w:rsidRDefault="00930EED" w:rsidP="00930EED">
      <w:pPr>
        <w:pStyle w:val="NormalWeb"/>
        <w:spacing w:before="2" w:after="2"/>
        <w:ind w:left="360" w:firstLine="360"/>
        <w:rPr>
          <w:rFonts w:ascii="Times New Roman" w:hAnsi="Times New Roman"/>
          <w:sz w:val="22"/>
          <w:szCs w:val="22"/>
        </w:rPr>
      </w:pPr>
      <w:r w:rsidRPr="00103319">
        <w:rPr>
          <w:rFonts w:ascii="Times New Roman" w:hAnsi="Times New Roman"/>
          <w:sz w:val="22"/>
          <w:szCs w:val="22"/>
        </w:rPr>
        <w:t xml:space="preserve">Hence </w:t>
      </w:r>
      <w:r>
        <w:rPr>
          <w:rFonts w:ascii="Times New Roman" w:hAnsi="Times New Roman"/>
          <w:sz w:val="22"/>
          <w:szCs w:val="22"/>
        </w:rPr>
        <w:t>these individuals</w:t>
      </w:r>
      <w:r w:rsidRPr="00103319">
        <w:rPr>
          <w:rFonts w:ascii="Times New Roman" w:hAnsi="Times New Roman"/>
          <w:sz w:val="22"/>
          <w:szCs w:val="22"/>
        </w:rPr>
        <w:t xml:space="preserve"> were eligible for Fall ’16.</w:t>
      </w:r>
    </w:p>
    <w:p w:rsidR="00930EED" w:rsidRPr="00103319" w:rsidRDefault="00930EED" w:rsidP="00930EED">
      <w:pPr>
        <w:pStyle w:val="NormalWeb"/>
        <w:spacing w:before="2" w:after="2"/>
        <w:ind w:left="360"/>
        <w:rPr>
          <w:rFonts w:ascii="Times New Roman" w:hAnsi="Times New Roman"/>
          <w:sz w:val="22"/>
          <w:szCs w:val="22"/>
        </w:rPr>
      </w:pPr>
    </w:p>
    <w:p w:rsidR="00930EED" w:rsidRPr="00103319" w:rsidRDefault="00930EED" w:rsidP="00930EED">
      <w:pPr>
        <w:pStyle w:val="NormalWeb"/>
        <w:spacing w:before="2" w:after="2"/>
        <w:ind w:left="720"/>
        <w:rPr>
          <w:rFonts w:ascii="Times New Roman" w:hAnsi="Times New Roman"/>
          <w:sz w:val="22"/>
          <w:szCs w:val="22"/>
        </w:rPr>
      </w:pPr>
      <w:r w:rsidRPr="00103319">
        <w:rPr>
          <w:rFonts w:ascii="Times New Roman" w:hAnsi="Times New Roman"/>
          <w:sz w:val="22"/>
          <w:szCs w:val="22"/>
        </w:rPr>
        <w:t>These requests were referred to the ICSA Webmaster who made the corrections.</w:t>
      </w:r>
    </w:p>
    <w:p w:rsidR="00930EED" w:rsidRPr="00103319" w:rsidRDefault="00930EED" w:rsidP="00930EED">
      <w:pPr>
        <w:pStyle w:val="NormalWeb"/>
        <w:spacing w:before="2" w:after="2"/>
        <w:ind w:left="720"/>
        <w:rPr>
          <w:rFonts w:ascii="Times New Roman" w:hAnsi="Times New Roman"/>
          <w:sz w:val="22"/>
          <w:szCs w:val="22"/>
        </w:rPr>
      </w:pPr>
    </w:p>
    <w:p w:rsidR="00930EED" w:rsidRPr="00103319" w:rsidRDefault="00930EED" w:rsidP="00930EED">
      <w:pPr>
        <w:numPr>
          <w:ilvl w:val="0"/>
          <w:numId w:val="2"/>
        </w:numPr>
        <w:spacing w:after="100"/>
        <w:rPr>
          <w:sz w:val="22"/>
          <w:szCs w:val="20"/>
        </w:rPr>
      </w:pPr>
      <w:r w:rsidRPr="00103319">
        <w:rPr>
          <w:sz w:val="22"/>
          <w:szCs w:val="20"/>
        </w:rPr>
        <w:t xml:space="preserve">A request for clarification was received relative to PR </w:t>
      </w:r>
      <w:r>
        <w:rPr>
          <w:sz w:val="22"/>
          <w:szCs w:val="20"/>
        </w:rPr>
        <w:t>A</w:t>
      </w:r>
      <w:r w:rsidRPr="00103319">
        <w:rPr>
          <w:sz w:val="22"/>
          <w:szCs w:val="20"/>
        </w:rPr>
        <w:t>3</w:t>
      </w:r>
    </w:p>
    <w:p w:rsidR="00930EED" w:rsidRPr="00103319" w:rsidRDefault="00930EED" w:rsidP="00930EED">
      <w:pPr>
        <w:spacing w:after="100"/>
        <w:ind w:left="720"/>
        <w:rPr>
          <w:sz w:val="22"/>
          <w:szCs w:val="20"/>
        </w:rPr>
      </w:pPr>
      <w:r w:rsidRPr="00103319">
        <w:rPr>
          <w:sz w:val="22"/>
          <w:szCs w:val="20"/>
        </w:rPr>
        <w:t>The answers to the following three questions were responded to the ICSA President:</w:t>
      </w:r>
    </w:p>
    <w:p w:rsidR="00930EED" w:rsidRPr="00103319" w:rsidRDefault="00930EED" w:rsidP="00930EED">
      <w:pPr>
        <w:spacing w:after="100"/>
        <w:ind w:left="720"/>
        <w:rPr>
          <w:sz w:val="22"/>
          <w:szCs w:val="20"/>
        </w:rPr>
      </w:pPr>
    </w:p>
    <w:p w:rsidR="00930EED" w:rsidRPr="00103319" w:rsidRDefault="00930EED" w:rsidP="00930EED">
      <w:pPr>
        <w:pStyle w:val="ColorfulList-Accent1"/>
        <w:numPr>
          <w:ilvl w:val="0"/>
          <w:numId w:val="4"/>
        </w:numPr>
        <w:spacing w:line="276" w:lineRule="auto"/>
        <w:ind w:left="1440" w:right="720" w:hanging="720"/>
        <w:rPr>
          <w:sz w:val="22"/>
        </w:rPr>
      </w:pPr>
      <w:r w:rsidRPr="00103319">
        <w:rPr>
          <w:b/>
          <w:i/>
          <w:sz w:val="22"/>
        </w:rPr>
        <w:t>Question:</w:t>
      </w:r>
      <w:r w:rsidRPr="00103319">
        <w:rPr>
          <w:sz w:val="22"/>
        </w:rPr>
        <w:t xml:space="preserve">  Is it required for a team to keep a log of each individual student-athlete’s hours of participation in ARA per day and per week to comply with PR A3?</w:t>
      </w:r>
    </w:p>
    <w:p w:rsidR="00930EED" w:rsidRPr="00103319" w:rsidRDefault="00930EED" w:rsidP="00930EED">
      <w:pPr>
        <w:pStyle w:val="ColorfulList-Accent1"/>
        <w:spacing w:line="276" w:lineRule="auto"/>
        <w:ind w:left="1440" w:right="720"/>
        <w:rPr>
          <w:sz w:val="22"/>
        </w:rPr>
      </w:pPr>
      <w:r w:rsidRPr="00103319">
        <w:rPr>
          <w:b/>
          <w:i/>
          <w:sz w:val="22"/>
        </w:rPr>
        <w:t>Answer:</w:t>
      </w:r>
      <w:r w:rsidRPr="00103319">
        <w:rPr>
          <w:sz w:val="22"/>
        </w:rPr>
        <w:t xml:space="preserve"> Yes. </w:t>
      </w:r>
      <w:r w:rsidRPr="00103319">
        <w:rPr>
          <w:sz w:val="22"/>
          <w:szCs w:val="22"/>
        </w:rPr>
        <w:t>The rule implicitly requires such log in order to properly complete the certification per PR A5.</w:t>
      </w:r>
    </w:p>
    <w:p w:rsidR="00930EED" w:rsidRPr="00103319" w:rsidRDefault="00930EED" w:rsidP="00930EED">
      <w:pPr>
        <w:pStyle w:val="ColorfulList-Accent1"/>
        <w:spacing w:line="276" w:lineRule="auto"/>
        <w:ind w:right="720"/>
        <w:rPr>
          <w:sz w:val="22"/>
        </w:rPr>
      </w:pPr>
    </w:p>
    <w:p w:rsidR="00930EED" w:rsidRPr="00103319" w:rsidRDefault="00930EED" w:rsidP="00930EED">
      <w:pPr>
        <w:pStyle w:val="ColorfulList-Accent1"/>
        <w:numPr>
          <w:ilvl w:val="0"/>
          <w:numId w:val="4"/>
        </w:numPr>
        <w:spacing w:line="276" w:lineRule="auto"/>
        <w:ind w:left="1440" w:right="720" w:hanging="720"/>
        <w:rPr>
          <w:sz w:val="22"/>
        </w:rPr>
      </w:pPr>
      <w:r w:rsidRPr="00103319">
        <w:rPr>
          <w:b/>
          <w:i/>
          <w:sz w:val="22"/>
        </w:rPr>
        <w:t>Question:</w:t>
      </w:r>
      <w:r w:rsidRPr="00103319">
        <w:rPr>
          <w:sz w:val="22"/>
        </w:rPr>
        <w:t xml:space="preserve">  If answer to #1 is no, how would an institution be certain that they have complied with PR A3?</w:t>
      </w:r>
    </w:p>
    <w:p w:rsidR="00930EED" w:rsidRPr="00103319" w:rsidRDefault="00930EED" w:rsidP="00930EED">
      <w:pPr>
        <w:pStyle w:val="ColorfulList-Accent1"/>
        <w:spacing w:line="276" w:lineRule="auto"/>
        <w:ind w:left="1440" w:right="720"/>
        <w:rPr>
          <w:sz w:val="22"/>
        </w:rPr>
      </w:pPr>
      <w:r w:rsidRPr="00103319">
        <w:rPr>
          <w:b/>
          <w:i/>
          <w:sz w:val="22"/>
        </w:rPr>
        <w:t>Answer:</w:t>
      </w:r>
      <w:r w:rsidRPr="00103319">
        <w:rPr>
          <w:sz w:val="22"/>
        </w:rPr>
        <w:t xml:space="preserve"> See Question #1.</w:t>
      </w:r>
    </w:p>
    <w:p w:rsidR="00930EED" w:rsidRPr="00103319" w:rsidRDefault="00930EED" w:rsidP="00930EED">
      <w:pPr>
        <w:pStyle w:val="ColorfulList-Accent1"/>
        <w:spacing w:line="276" w:lineRule="auto"/>
        <w:ind w:right="720"/>
        <w:rPr>
          <w:sz w:val="22"/>
        </w:rPr>
      </w:pPr>
    </w:p>
    <w:p w:rsidR="00930EED" w:rsidRPr="00103319" w:rsidRDefault="00930EED" w:rsidP="00930EED">
      <w:pPr>
        <w:pStyle w:val="ColorfulList-Accent1"/>
        <w:numPr>
          <w:ilvl w:val="0"/>
          <w:numId w:val="4"/>
        </w:numPr>
        <w:spacing w:line="276" w:lineRule="auto"/>
        <w:ind w:left="1440" w:right="720" w:hanging="720"/>
        <w:rPr>
          <w:sz w:val="22"/>
        </w:rPr>
      </w:pPr>
      <w:r w:rsidRPr="00103319">
        <w:rPr>
          <w:b/>
          <w:i/>
          <w:sz w:val="22"/>
        </w:rPr>
        <w:t>Question:</w:t>
      </w:r>
      <w:r w:rsidRPr="00103319">
        <w:rPr>
          <w:sz w:val="22"/>
        </w:rPr>
        <w:t xml:space="preserve">  If answer to Q1 is yes, if a team schedules no more than 20 hours per week of ARA, with no more than 4 hours of ARA per day, such that any student athlete that participates in every scheduled ARA in a given week would comply with PR A3, would that team still be required to track each student athlete’s daily/weekly hours?</w:t>
      </w:r>
    </w:p>
    <w:p w:rsidR="00930EED" w:rsidRPr="00103319" w:rsidRDefault="00930EED" w:rsidP="00930EED">
      <w:pPr>
        <w:pStyle w:val="ColorfulList-Accent1"/>
        <w:spacing w:line="276" w:lineRule="auto"/>
        <w:ind w:left="1440" w:right="720"/>
        <w:rPr>
          <w:sz w:val="22"/>
        </w:rPr>
      </w:pPr>
      <w:r w:rsidRPr="00103319">
        <w:rPr>
          <w:b/>
          <w:i/>
          <w:sz w:val="22"/>
        </w:rPr>
        <w:t>Answer:</w:t>
      </w:r>
      <w:r w:rsidRPr="00103319">
        <w:rPr>
          <w:sz w:val="22"/>
        </w:rPr>
        <w:t xml:space="preserve"> No</w:t>
      </w:r>
    </w:p>
    <w:p w:rsidR="00930EED" w:rsidRPr="00103319" w:rsidRDefault="00930EED" w:rsidP="00930EED">
      <w:pPr>
        <w:spacing w:after="100"/>
        <w:ind w:left="720"/>
        <w:rPr>
          <w:sz w:val="22"/>
          <w:szCs w:val="20"/>
        </w:rPr>
      </w:pPr>
    </w:p>
    <w:p w:rsidR="00930EED" w:rsidRPr="00103319" w:rsidRDefault="00930EED" w:rsidP="00930EED">
      <w:pPr>
        <w:widowControl w:val="0"/>
        <w:autoSpaceDE w:val="0"/>
        <w:autoSpaceDN w:val="0"/>
        <w:adjustRightInd w:val="0"/>
        <w:spacing w:after="0"/>
        <w:ind w:left="360"/>
        <w:rPr>
          <w:sz w:val="22"/>
          <w:szCs w:val="22"/>
        </w:rPr>
      </w:pPr>
    </w:p>
    <w:p w:rsidR="00930EED" w:rsidRPr="00103319" w:rsidRDefault="00930EED" w:rsidP="00930EED">
      <w:pPr>
        <w:widowControl w:val="0"/>
        <w:autoSpaceDE w:val="0"/>
        <w:autoSpaceDN w:val="0"/>
        <w:adjustRightInd w:val="0"/>
        <w:spacing w:after="0"/>
        <w:rPr>
          <w:sz w:val="22"/>
          <w:szCs w:val="22"/>
        </w:rPr>
      </w:pPr>
    </w:p>
    <w:p w:rsidR="00930EED" w:rsidRPr="00103319" w:rsidRDefault="00930EED" w:rsidP="00930EED">
      <w:pPr>
        <w:widowControl w:val="0"/>
        <w:autoSpaceDE w:val="0"/>
        <w:autoSpaceDN w:val="0"/>
        <w:adjustRightInd w:val="0"/>
        <w:spacing w:after="0"/>
        <w:rPr>
          <w:sz w:val="22"/>
          <w:szCs w:val="22"/>
        </w:rPr>
      </w:pPr>
    </w:p>
    <w:p w:rsidR="00930EED" w:rsidRPr="00103319" w:rsidRDefault="00930EED" w:rsidP="00930EED">
      <w:pPr>
        <w:widowControl w:val="0"/>
        <w:autoSpaceDE w:val="0"/>
        <w:autoSpaceDN w:val="0"/>
        <w:adjustRightInd w:val="0"/>
        <w:spacing w:after="0"/>
        <w:ind w:left="288" w:hanging="288"/>
        <w:rPr>
          <w:sz w:val="22"/>
          <w:szCs w:val="22"/>
        </w:rPr>
      </w:pPr>
    </w:p>
    <w:p w:rsidR="00930EED" w:rsidRPr="00103319" w:rsidRDefault="00930EED" w:rsidP="00930EED">
      <w:pPr>
        <w:widowControl w:val="0"/>
        <w:autoSpaceDE w:val="0"/>
        <w:autoSpaceDN w:val="0"/>
        <w:adjustRightInd w:val="0"/>
        <w:spacing w:after="0"/>
        <w:ind w:left="288" w:hanging="288"/>
        <w:rPr>
          <w:sz w:val="22"/>
          <w:szCs w:val="22"/>
        </w:rPr>
      </w:pPr>
    </w:p>
    <w:p w:rsidR="00930EED" w:rsidRPr="00103319" w:rsidRDefault="00930EED" w:rsidP="00930EED">
      <w:pPr>
        <w:widowControl w:val="0"/>
        <w:autoSpaceDE w:val="0"/>
        <w:autoSpaceDN w:val="0"/>
        <w:adjustRightInd w:val="0"/>
        <w:spacing w:after="0"/>
        <w:ind w:left="288" w:hanging="288"/>
        <w:rPr>
          <w:sz w:val="22"/>
          <w:szCs w:val="22"/>
        </w:rPr>
      </w:pPr>
    </w:p>
    <w:p w:rsidR="00930EED" w:rsidRPr="00103319" w:rsidRDefault="00930EED" w:rsidP="00930EED">
      <w:pPr>
        <w:widowControl w:val="0"/>
        <w:autoSpaceDE w:val="0"/>
        <w:autoSpaceDN w:val="0"/>
        <w:adjustRightInd w:val="0"/>
        <w:spacing w:after="0"/>
        <w:ind w:left="288" w:hanging="288"/>
        <w:rPr>
          <w:sz w:val="22"/>
          <w:szCs w:val="22"/>
        </w:rPr>
      </w:pPr>
    </w:p>
    <w:p w:rsidR="00930EED" w:rsidRPr="00103319" w:rsidRDefault="00930EED">
      <w:pPr>
        <w:rPr>
          <w:sz w:val="22"/>
        </w:rPr>
      </w:pPr>
    </w:p>
    <w:sectPr w:rsidR="00930EED" w:rsidRPr="00103319" w:rsidSect="00930E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095"/>
    <w:multiLevelType w:val="hybridMultilevel"/>
    <w:tmpl w:val="B3869F6E"/>
    <w:lvl w:ilvl="0" w:tplc="B630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D2DC5"/>
    <w:multiLevelType w:val="hybridMultilevel"/>
    <w:tmpl w:val="75607336"/>
    <w:lvl w:ilvl="0" w:tplc="FEEE7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304B9"/>
    <w:multiLevelType w:val="hybridMultilevel"/>
    <w:tmpl w:val="9006E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53C2F"/>
    <w:multiLevelType w:val="multilevel"/>
    <w:tmpl w:val="756073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3E"/>
    <w:rsid w:val="00930EED"/>
    <w:rsid w:val="00EB659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664B15E-5769-46D1-B899-C63530A3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763E"/>
    <w:pPr>
      <w:spacing w:after="20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04763E"/>
    <w:pPr>
      <w:ind w:left="720"/>
      <w:contextualSpacing/>
    </w:pPr>
  </w:style>
  <w:style w:type="paragraph" w:styleId="NormalWeb">
    <w:name w:val="Normal (Web)"/>
    <w:basedOn w:val="Normal"/>
    <w:uiPriority w:val="99"/>
    <w:rsid w:val="00733FA9"/>
    <w:pPr>
      <w:spacing w:beforeLines="1" w:afterLines="1" w:after="0"/>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483">
      <w:bodyDiv w:val="1"/>
      <w:marLeft w:val="0"/>
      <w:marRight w:val="0"/>
      <w:marTop w:val="0"/>
      <w:marBottom w:val="0"/>
      <w:divBdr>
        <w:top w:val="none" w:sz="0" w:space="0" w:color="auto"/>
        <w:left w:val="none" w:sz="0" w:space="0" w:color="auto"/>
        <w:bottom w:val="none" w:sz="0" w:space="0" w:color="auto"/>
        <w:right w:val="none" w:sz="0" w:space="0" w:color="auto"/>
      </w:divBdr>
      <w:divsChild>
        <w:div w:id="20090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717622">
      <w:bodyDiv w:val="1"/>
      <w:marLeft w:val="0"/>
      <w:marRight w:val="0"/>
      <w:marTop w:val="0"/>
      <w:marBottom w:val="0"/>
      <w:divBdr>
        <w:top w:val="none" w:sz="0" w:space="0" w:color="auto"/>
        <w:left w:val="none" w:sz="0" w:space="0" w:color="auto"/>
        <w:bottom w:val="none" w:sz="0" w:space="0" w:color="auto"/>
        <w:right w:val="none" w:sz="0" w:space="0" w:color="auto"/>
      </w:divBdr>
      <w:divsChild>
        <w:div w:id="201995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847226">
      <w:bodyDiv w:val="1"/>
      <w:marLeft w:val="0"/>
      <w:marRight w:val="0"/>
      <w:marTop w:val="0"/>
      <w:marBottom w:val="0"/>
      <w:divBdr>
        <w:top w:val="none" w:sz="0" w:space="0" w:color="auto"/>
        <w:left w:val="none" w:sz="0" w:space="0" w:color="auto"/>
        <w:bottom w:val="none" w:sz="0" w:space="0" w:color="auto"/>
        <w:right w:val="none" w:sz="0" w:space="0" w:color="auto"/>
      </w:divBdr>
      <w:divsChild>
        <w:div w:id="2033794929">
          <w:marLeft w:val="0"/>
          <w:marRight w:val="0"/>
          <w:marTop w:val="0"/>
          <w:marBottom w:val="0"/>
          <w:divBdr>
            <w:top w:val="none" w:sz="0" w:space="0" w:color="auto"/>
            <w:left w:val="none" w:sz="0" w:space="0" w:color="auto"/>
            <w:bottom w:val="none" w:sz="0" w:space="0" w:color="auto"/>
            <w:right w:val="none" w:sz="0" w:space="0" w:color="auto"/>
          </w:divBdr>
          <w:divsChild>
            <w:div w:id="2069570565">
              <w:marLeft w:val="0"/>
              <w:marRight w:val="0"/>
              <w:marTop w:val="0"/>
              <w:marBottom w:val="0"/>
              <w:divBdr>
                <w:top w:val="none" w:sz="0" w:space="0" w:color="auto"/>
                <w:left w:val="none" w:sz="0" w:space="0" w:color="auto"/>
                <w:bottom w:val="none" w:sz="0" w:space="0" w:color="auto"/>
                <w:right w:val="none" w:sz="0" w:space="0" w:color="auto"/>
              </w:divBdr>
              <w:divsChild>
                <w:div w:id="1817409811">
                  <w:marLeft w:val="0"/>
                  <w:marRight w:val="0"/>
                  <w:marTop w:val="0"/>
                  <w:marBottom w:val="0"/>
                  <w:divBdr>
                    <w:top w:val="none" w:sz="0" w:space="0" w:color="auto"/>
                    <w:left w:val="none" w:sz="0" w:space="0" w:color="auto"/>
                    <w:bottom w:val="none" w:sz="0" w:space="0" w:color="auto"/>
                    <w:right w:val="none" w:sz="0" w:space="0" w:color="auto"/>
                  </w:divBdr>
                </w:div>
                <w:div w:id="19139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Griswold</dc:creator>
  <cp:keywords/>
  <cp:lastModifiedBy>DMR</cp:lastModifiedBy>
  <cp:revision>2</cp:revision>
  <dcterms:created xsi:type="dcterms:W3CDTF">2017-01-14T09:48:00Z</dcterms:created>
  <dcterms:modified xsi:type="dcterms:W3CDTF">2017-01-14T09:48:00Z</dcterms:modified>
</cp:coreProperties>
</file>